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36" w:rsidRPr="00E03236" w:rsidRDefault="00E03236" w:rsidP="00E032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0323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Муниципальное автономное дошкольное образовательное учреждение  детский сад   № 61  общеразвивающего вида с приоритетным осуществлением  деятельности </w:t>
      </w:r>
    </w:p>
    <w:p w:rsidR="00E03236" w:rsidRPr="00E03236" w:rsidRDefault="00E03236" w:rsidP="00E0323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0323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по познавательно – речевому развитию детей 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9"/>
        <w:gridCol w:w="3003"/>
      </w:tblGrid>
      <w:tr w:rsidR="00F5376D" w:rsidTr="00E0323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76D" w:rsidRDefault="00D45C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76D" w:rsidRDefault="00D45C8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 </w:t>
            </w:r>
          </w:p>
        </w:tc>
      </w:tr>
      <w:tr w:rsidR="00F5376D" w:rsidTr="00E0323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76D" w:rsidRDefault="00D45C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76D" w:rsidRPr="00E03236" w:rsidRDefault="00D45C8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="00E0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МАДОУ № 61</w:t>
            </w:r>
          </w:p>
        </w:tc>
      </w:tr>
      <w:tr w:rsidR="00F5376D" w:rsidRPr="00E03236" w:rsidTr="00E0323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76D" w:rsidRDefault="00D45C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76D" w:rsidRPr="00E03236" w:rsidRDefault="00E03236" w:rsidP="00D45C83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Кузовникова С. Л.</w:t>
            </w:r>
          </w:p>
        </w:tc>
      </w:tr>
      <w:tr w:rsidR="00F5376D" w:rsidRPr="00E03236" w:rsidTr="00E0323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76D" w:rsidRPr="00E03236" w:rsidRDefault="00F537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376D" w:rsidRPr="00E03236" w:rsidRDefault="00D45C83">
            <w:pPr>
              <w:rPr>
                <w:lang w:val="ru-RU"/>
              </w:rPr>
            </w:pPr>
            <w:r w:rsidRPr="00E032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31.08.2022</w:t>
            </w:r>
          </w:p>
        </w:tc>
      </w:tr>
    </w:tbl>
    <w:p w:rsidR="00F5376D" w:rsidRPr="00E03236" w:rsidRDefault="00D45C83" w:rsidP="00D45C83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E03236">
        <w:rPr>
          <w:color w:val="222222"/>
          <w:sz w:val="33"/>
          <w:szCs w:val="33"/>
          <w:lang w:val="ru-RU"/>
        </w:rPr>
        <w:t xml:space="preserve">Положение об использовании государственных символов Российской Федерации в </w:t>
      </w:r>
      <w:r>
        <w:rPr>
          <w:color w:val="222222"/>
          <w:sz w:val="33"/>
          <w:szCs w:val="33"/>
          <w:lang w:val="ru-RU"/>
        </w:rPr>
        <w:t>МАДОУ № 61</w:t>
      </w:r>
    </w:p>
    <w:p w:rsidR="00F5376D" w:rsidRPr="00E03236" w:rsidRDefault="00D45C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№ 61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№ 61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3.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хугольный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равой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фигуры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двуглавого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одноцветном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водимых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Конкретное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прослушивается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Регламенто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знаменосца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старшей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устанавливае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обеспечивающем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Нижняя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диаметром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диаметр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крепятся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ролика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Нижний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ролик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верхний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0,1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роликам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стальной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трос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1,8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1,2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изводится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старшей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торжественного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торжественного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доставляется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комнату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сушке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чистке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ответственны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Кратность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поврежде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заменен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особой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ритуал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ассист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ентов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траура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древка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черная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лента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полотнища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приспускается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обозначает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Default="00D45C8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5376D" w:rsidRPr="00E03236" w:rsidRDefault="00D45C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5376D" w:rsidRPr="00E03236" w:rsidRDefault="00D45C8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памятников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5376D" w:rsidRPr="00E03236" w:rsidRDefault="00D45C8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вставании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стояни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пожилых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травмированных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исключений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обнажают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вызвано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рассматривают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голов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неуважения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унижения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тишину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сократить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выслушать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молча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подпевая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поворачиваются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поднимаемому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3.8.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повторением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исполняются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Троекратное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куплетов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припевов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Герба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священной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идентичен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45C83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5C83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5C83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5C83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5C83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5C83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5C83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376D" w:rsidRPr="00E03236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03236">
        <w:rPr>
          <w:lang w:val="ru-RU"/>
        </w:rPr>
        <w:br/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03236">
        <w:rPr>
          <w:lang w:val="ru-RU"/>
        </w:rPr>
        <w:br/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№ 61</w:t>
      </w:r>
    </w:p>
    <w:p w:rsidR="00F5376D" w:rsidRPr="00E03236" w:rsidRDefault="00D45C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№ 61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площадка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холл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климатическими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широтными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конструктивными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проводимого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осенне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весенне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ткрытой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))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принимающие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вперед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краткой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верси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дням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торжественное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определенное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ассистенты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старшей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занимающиеся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включаться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сопроводить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выдержать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«шаг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останавливается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разворачивается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«Направо»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озвучивает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поднять»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поднимают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установить»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флагштоку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Древко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стоят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произносит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«Вольно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продолжиться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блоком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оглашаться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гостей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20.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команда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«Налево»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вслед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покидают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чебного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23.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спустить»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медленному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«нога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тавки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03236">
        <w:rPr>
          <w:lang w:val="ru-RU"/>
        </w:rPr>
        <w:br/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03236">
        <w:rPr>
          <w:lang w:val="ru-RU"/>
        </w:rPr>
        <w:br/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№ 61</w:t>
      </w:r>
    </w:p>
    <w:p w:rsidR="00D45C83" w:rsidRDefault="00D45C83" w:rsidP="00D45C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</w:p>
    <w:p w:rsidR="00F5376D" w:rsidRPr="00E03236" w:rsidRDefault="00D45C83" w:rsidP="00D45C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№ 61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колонны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передний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правый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олотнища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вносом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твующих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выглядел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развернутым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расположением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Оркестр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воспроизведения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звукозаписи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останавливается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посередине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уносит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непродолжительным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такового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376D" w:rsidRPr="00E03236" w:rsidRDefault="00D45C83" w:rsidP="00D45C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отдает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E032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5376D" w:rsidRPr="00E0323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45C83"/>
    <w:rsid w:val="00E03236"/>
    <w:rsid w:val="00E438A1"/>
    <w:rsid w:val="00F01E19"/>
    <w:rsid w:val="00F5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2022-09-27T06:07:00Z</dcterms:created>
  <dcterms:modified xsi:type="dcterms:W3CDTF">2022-09-27T06:07:00Z</dcterms:modified>
</cp:coreProperties>
</file>